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90" w:type="dxa"/>
        <w:tblInd w:w="-725" w:type="dxa"/>
        <w:tblLook w:val="04A0" w:firstRow="1" w:lastRow="0" w:firstColumn="1" w:lastColumn="0" w:noHBand="0" w:noVBand="1"/>
      </w:tblPr>
      <w:tblGrid>
        <w:gridCol w:w="7650"/>
        <w:gridCol w:w="6840"/>
      </w:tblGrid>
      <w:tr w:rsidR="0013648D" w14:paraId="6E88D11F" w14:textId="77777777" w:rsidTr="680EAA0F">
        <w:trPr>
          <w:trHeight w:val="440"/>
        </w:trPr>
        <w:tc>
          <w:tcPr>
            <w:tcW w:w="7650" w:type="dxa"/>
            <w:shd w:val="clear" w:color="auto" w:fill="DAE9F7" w:themeFill="text2" w:themeFillTint="1A"/>
            <w:vAlign w:val="center"/>
          </w:tcPr>
          <w:p w14:paraId="1D1F2DB9" w14:textId="41EB59E7" w:rsidR="0013648D" w:rsidRPr="00C238D0" w:rsidRDefault="0013648D" w:rsidP="0013648D">
            <w:pPr>
              <w:jc w:val="center"/>
              <w:rPr>
                <w:rFonts w:ascii="Calibri" w:hAnsi="Calibri" w:cs="Calibri"/>
                <w:b/>
                <w:bCs/>
              </w:rPr>
            </w:pPr>
            <w:r w:rsidRPr="00C238D0">
              <w:rPr>
                <w:rFonts w:ascii="Calibri" w:hAnsi="Calibri" w:cs="Calibri"/>
                <w:b/>
                <w:bCs/>
              </w:rPr>
              <w:t>Questions</w:t>
            </w:r>
          </w:p>
        </w:tc>
        <w:tc>
          <w:tcPr>
            <w:tcW w:w="6840" w:type="dxa"/>
            <w:shd w:val="clear" w:color="auto" w:fill="DAE9F7" w:themeFill="text2" w:themeFillTint="1A"/>
            <w:vAlign w:val="center"/>
          </w:tcPr>
          <w:p w14:paraId="5029CC20" w14:textId="1A70FC13" w:rsidR="0013648D" w:rsidRPr="00C238D0" w:rsidRDefault="0013648D" w:rsidP="0013648D">
            <w:pPr>
              <w:jc w:val="center"/>
              <w:rPr>
                <w:rFonts w:ascii="Calibri" w:hAnsi="Calibri" w:cs="Calibri"/>
                <w:b/>
                <w:bCs/>
              </w:rPr>
            </w:pPr>
            <w:r w:rsidRPr="00C238D0">
              <w:rPr>
                <w:rFonts w:ascii="Calibri" w:hAnsi="Calibri" w:cs="Calibri"/>
                <w:b/>
                <w:bCs/>
              </w:rPr>
              <w:t>Answers</w:t>
            </w:r>
          </w:p>
        </w:tc>
      </w:tr>
      <w:tr w:rsidR="005D5E4A" w14:paraId="0C6DDC58" w14:textId="77777777" w:rsidTr="680EAA0F">
        <w:tc>
          <w:tcPr>
            <w:tcW w:w="7650" w:type="dxa"/>
          </w:tcPr>
          <w:p w14:paraId="22AE7D6C" w14:textId="1814D246" w:rsidR="005D5E4A" w:rsidRPr="00C238D0" w:rsidRDefault="66ADF318">
            <w:pPr>
              <w:rPr>
                <w:rFonts w:ascii="Calibri" w:hAnsi="Calibri" w:cs="Calibri"/>
              </w:rPr>
            </w:pPr>
            <w:r w:rsidRPr="00C238D0">
              <w:rPr>
                <w:rFonts w:ascii="Calibri" w:hAnsi="Calibri" w:cs="Calibri"/>
              </w:rPr>
              <w:t xml:space="preserve">Is there a cap on the budget, or </w:t>
            </w:r>
            <w:proofErr w:type="gramStart"/>
            <w:r w:rsidRPr="00C238D0">
              <w:rPr>
                <w:rFonts w:ascii="Calibri" w:hAnsi="Calibri" w:cs="Calibri"/>
              </w:rPr>
              <w:t>an applicant should</w:t>
            </w:r>
            <w:proofErr w:type="gramEnd"/>
            <w:r w:rsidRPr="00C238D0">
              <w:rPr>
                <w:rFonts w:ascii="Calibri" w:hAnsi="Calibri" w:cs="Calibri"/>
              </w:rPr>
              <w:t xml:space="preserve"> propose the budget deemed necessary to perform the work adequately without parameters?  </w:t>
            </w:r>
          </w:p>
        </w:tc>
        <w:tc>
          <w:tcPr>
            <w:tcW w:w="6840" w:type="dxa"/>
          </w:tcPr>
          <w:p w14:paraId="1B0E620B" w14:textId="7DC17CF9" w:rsidR="005D5E4A" w:rsidRPr="00C238D0" w:rsidRDefault="00DC46CE" w:rsidP="00DC46CE">
            <w:pPr>
              <w:rPr>
                <w:rFonts w:ascii="Calibri" w:hAnsi="Calibri" w:cs="Calibri"/>
              </w:rPr>
            </w:pPr>
            <w:r w:rsidRPr="00C238D0">
              <w:rPr>
                <w:rFonts w:ascii="Calibri" w:hAnsi="Calibri" w:cs="Calibri"/>
              </w:rPr>
              <w:t>The Alabama State Department of Education (ALSDE) seeks competitive budgets that provide a complete financial overview of the proposed project's anticipated costs. Adequate funding is available to support the project.</w:t>
            </w:r>
          </w:p>
        </w:tc>
      </w:tr>
      <w:tr w:rsidR="005D5E4A" w14:paraId="7AC768FD" w14:textId="77777777" w:rsidTr="680EAA0F">
        <w:tc>
          <w:tcPr>
            <w:tcW w:w="7650" w:type="dxa"/>
          </w:tcPr>
          <w:p w14:paraId="6DAAC0CB" w14:textId="0D839B54" w:rsidR="005D5E4A" w:rsidRPr="00C238D0" w:rsidRDefault="66ADF318">
            <w:pPr>
              <w:rPr>
                <w:rFonts w:ascii="Calibri" w:hAnsi="Calibri" w:cs="Calibri"/>
              </w:rPr>
            </w:pPr>
            <w:r w:rsidRPr="00C238D0">
              <w:rPr>
                <w:rFonts w:ascii="Calibri" w:hAnsi="Calibri" w:cs="Calibri"/>
              </w:rPr>
              <w:t xml:space="preserve">Is the anticipated contract for 1 year to address the training scope indicated, or a longer period of time?  </w:t>
            </w:r>
          </w:p>
        </w:tc>
        <w:tc>
          <w:tcPr>
            <w:tcW w:w="6840" w:type="dxa"/>
          </w:tcPr>
          <w:p w14:paraId="4AB3235E" w14:textId="7A16EDD0" w:rsidR="005D5E4A" w:rsidRPr="00C238D0" w:rsidRDefault="000D0A51">
            <w:pPr>
              <w:rPr>
                <w:rFonts w:ascii="Calibri" w:hAnsi="Calibri" w:cs="Calibri"/>
              </w:rPr>
            </w:pPr>
            <w:r w:rsidRPr="00C238D0">
              <w:rPr>
                <w:rFonts w:ascii="Calibri" w:hAnsi="Calibri" w:cs="Calibri"/>
              </w:rPr>
              <w:t xml:space="preserve">The ALSDE intends to execute an initial contract with </w:t>
            </w:r>
            <w:r w:rsidR="00A7192F" w:rsidRPr="00C238D0">
              <w:rPr>
                <w:rFonts w:ascii="Calibri" w:hAnsi="Calibri" w:cs="Calibri"/>
              </w:rPr>
              <w:t>contractor</w:t>
            </w:r>
            <w:r w:rsidRPr="00C238D0">
              <w:rPr>
                <w:rFonts w:ascii="Calibri" w:hAnsi="Calibri" w:cs="Calibri"/>
              </w:rPr>
              <w:t xml:space="preserve">(s) for a period of up to two (2) years, with contract renewals equaling no longer than five (5) total years for the initial contract and renewals combined, pending written agreement of the vendor and the ALSDE dependent upon required state approvals, availability of funds, performance evaluations of the project, at the full discretion of the ALSDE. </w:t>
            </w:r>
          </w:p>
        </w:tc>
      </w:tr>
      <w:tr w:rsidR="005D5E4A" w14:paraId="525E9F8A" w14:textId="77777777" w:rsidTr="680EAA0F">
        <w:tc>
          <w:tcPr>
            <w:tcW w:w="7650" w:type="dxa"/>
          </w:tcPr>
          <w:p w14:paraId="4F13AEF7" w14:textId="4DD67585" w:rsidR="005D5E4A" w:rsidRPr="00C238D0" w:rsidRDefault="0041706F">
            <w:pPr>
              <w:rPr>
                <w:rFonts w:ascii="Calibri" w:hAnsi="Calibri" w:cs="Calibri"/>
              </w:rPr>
            </w:pPr>
            <w:r w:rsidRPr="00C238D0">
              <w:rPr>
                <w:rFonts w:ascii="Calibri" w:hAnsi="Calibri" w:cs="Calibri"/>
              </w:rPr>
              <w:t>Will multiple vendors be selected for each option?</w:t>
            </w:r>
          </w:p>
        </w:tc>
        <w:tc>
          <w:tcPr>
            <w:tcW w:w="6840" w:type="dxa"/>
          </w:tcPr>
          <w:p w14:paraId="412C19B7" w14:textId="124DF7DC" w:rsidR="005D5E4A" w:rsidRPr="00C238D0" w:rsidRDefault="006B55A9" w:rsidP="006B55A9">
            <w:pPr>
              <w:rPr>
                <w:rFonts w:ascii="Calibri" w:hAnsi="Calibri" w:cs="Calibri"/>
              </w:rPr>
            </w:pPr>
            <w:r w:rsidRPr="00C238D0">
              <w:rPr>
                <w:rFonts w:ascii="Calibri" w:hAnsi="Calibri" w:cs="Calibri"/>
              </w:rPr>
              <w:t xml:space="preserve">The ALSDE may choose multiple vendors for each option in this </w:t>
            </w:r>
            <w:proofErr w:type="gramStart"/>
            <w:r w:rsidR="006E4690" w:rsidRPr="00C238D0">
              <w:rPr>
                <w:rFonts w:ascii="Calibri" w:hAnsi="Calibri" w:cs="Calibri"/>
              </w:rPr>
              <w:t>RFP, but</w:t>
            </w:r>
            <w:proofErr w:type="gramEnd"/>
            <w:r w:rsidRPr="00C238D0">
              <w:rPr>
                <w:rFonts w:ascii="Calibri" w:hAnsi="Calibri" w:cs="Calibri"/>
              </w:rPr>
              <w:t xml:space="preserve"> is not obligated to do so.</w:t>
            </w:r>
          </w:p>
        </w:tc>
      </w:tr>
      <w:tr w:rsidR="005D5E4A" w14:paraId="48871E2B" w14:textId="77777777" w:rsidTr="680EAA0F">
        <w:tc>
          <w:tcPr>
            <w:tcW w:w="7650" w:type="dxa"/>
          </w:tcPr>
          <w:p w14:paraId="131B5E15" w14:textId="30C3F523" w:rsidR="005D5E4A" w:rsidRPr="00C238D0" w:rsidRDefault="0041706F">
            <w:pPr>
              <w:rPr>
                <w:rFonts w:ascii="Calibri" w:hAnsi="Calibri" w:cs="Calibri"/>
              </w:rPr>
            </w:pPr>
            <w:r w:rsidRPr="00C238D0">
              <w:rPr>
                <w:rFonts w:ascii="Calibri" w:hAnsi="Calibri" w:cs="Calibri"/>
              </w:rPr>
              <w:t>What is the total amount of money set aside for option 1 and option 2?</w:t>
            </w:r>
          </w:p>
        </w:tc>
        <w:tc>
          <w:tcPr>
            <w:tcW w:w="6840" w:type="dxa"/>
          </w:tcPr>
          <w:p w14:paraId="1BF50327" w14:textId="2CE52DDD" w:rsidR="005D5E4A" w:rsidRPr="00C238D0" w:rsidRDefault="60C4BA43">
            <w:pPr>
              <w:rPr>
                <w:rFonts w:ascii="Calibri" w:hAnsi="Calibri" w:cs="Calibri"/>
              </w:rPr>
            </w:pPr>
            <w:r w:rsidRPr="00C238D0">
              <w:rPr>
                <w:rFonts w:ascii="Calibri" w:hAnsi="Calibri" w:cs="Calibri"/>
              </w:rPr>
              <w:t>The ALSDE seeks competitive budgets that provide a complete financial overview of the proposed project's anticipated costs. Adequate funding is available to support the project.</w:t>
            </w:r>
          </w:p>
        </w:tc>
      </w:tr>
      <w:tr w:rsidR="005D5E4A" w14:paraId="796D8139" w14:textId="77777777" w:rsidTr="680EAA0F">
        <w:tc>
          <w:tcPr>
            <w:tcW w:w="7650" w:type="dxa"/>
          </w:tcPr>
          <w:p w14:paraId="029D3A15" w14:textId="1AC9A88D" w:rsidR="005D5E4A" w:rsidRPr="00C238D0" w:rsidRDefault="0041706F">
            <w:pPr>
              <w:rPr>
                <w:rFonts w:ascii="Calibri" w:hAnsi="Calibri" w:cs="Calibri"/>
              </w:rPr>
            </w:pPr>
            <w:r w:rsidRPr="00C238D0">
              <w:rPr>
                <w:rFonts w:ascii="Calibri" w:hAnsi="Calibri" w:cs="Calibri"/>
              </w:rPr>
              <w:t>If we are applying with a partner, one as primary and one as a sub, can one be a TA&amp;D program center and the other be a registered vendor</w:t>
            </w:r>
          </w:p>
        </w:tc>
        <w:tc>
          <w:tcPr>
            <w:tcW w:w="6840" w:type="dxa"/>
          </w:tcPr>
          <w:p w14:paraId="64C9DEAA" w14:textId="106E9447" w:rsidR="005D5E4A" w:rsidRPr="00C238D0" w:rsidRDefault="00596D67" w:rsidP="00795FBE">
            <w:pPr>
              <w:rPr>
                <w:rFonts w:ascii="Calibri" w:hAnsi="Calibri" w:cs="Calibri"/>
              </w:rPr>
            </w:pPr>
            <w:r w:rsidRPr="00C238D0">
              <w:rPr>
                <w:rFonts w:ascii="Calibri" w:hAnsi="Calibri" w:cs="Calibri"/>
              </w:rPr>
              <w:t>The applicant must be a current or recent federally funded</w:t>
            </w:r>
            <w:r w:rsidR="00EE1C49" w:rsidRPr="00C238D0">
              <w:rPr>
                <w:rFonts w:ascii="Calibri" w:hAnsi="Calibri" w:cs="Calibri"/>
              </w:rPr>
              <w:t xml:space="preserve"> </w:t>
            </w:r>
            <w:r w:rsidR="002D3CF7" w:rsidRPr="00C238D0">
              <w:rPr>
                <w:rFonts w:ascii="Calibri" w:hAnsi="Calibri" w:cs="Calibri"/>
              </w:rPr>
              <w:t>t</w:t>
            </w:r>
            <w:r w:rsidR="00EE1C49" w:rsidRPr="00C238D0">
              <w:rPr>
                <w:rFonts w:ascii="Calibri" w:hAnsi="Calibri" w:cs="Calibri"/>
              </w:rPr>
              <w:t xml:space="preserve">echnical </w:t>
            </w:r>
            <w:r w:rsidR="002D3CF7" w:rsidRPr="00C238D0">
              <w:rPr>
                <w:rFonts w:ascii="Calibri" w:hAnsi="Calibri" w:cs="Calibri"/>
              </w:rPr>
              <w:t>a</w:t>
            </w:r>
            <w:r w:rsidR="00EE1C49" w:rsidRPr="00C238D0">
              <w:rPr>
                <w:rFonts w:ascii="Calibri" w:hAnsi="Calibri" w:cs="Calibri"/>
              </w:rPr>
              <w:t xml:space="preserve">ssistance and </w:t>
            </w:r>
            <w:r w:rsidR="002D3CF7" w:rsidRPr="00C238D0">
              <w:rPr>
                <w:rFonts w:ascii="Calibri" w:hAnsi="Calibri" w:cs="Calibri"/>
              </w:rPr>
              <w:t>d</w:t>
            </w:r>
            <w:r w:rsidR="00EE1C49" w:rsidRPr="00C238D0">
              <w:rPr>
                <w:rFonts w:ascii="Calibri" w:hAnsi="Calibri" w:cs="Calibri"/>
              </w:rPr>
              <w:t>issemination</w:t>
            </w:r>
            <w:r w:rsidRPr="00C238D0">
              <w:rPr>
                <w:rFonts w:ascii="Calibri" w:hAnsi="Calibri" w:cs="Calibri"/>
              </w:rPr>
              <w:t xml:space="preserve"> </w:t>
            </w:r>
            <w:r w:rsidR="00EE1C49" w:rsidRPr="00C238D0">
              <w:rPr>
                <w:rFonts w:ascii="Calibri" w:hAnsi="Calibri" w:cs="Calibri"/>
              </w:rPr>
              <w:t>(</w:t>
            </w:r>
            <w:r w:rsidRPr="00C238D0">
              <w:rPr>
                <w:rFonts w:ascii="Calibri" w:hAnsi="Calibri" w:cs="Calibri"/>
              </w:rPr>
              <w:t>TA&amp;D</w:t>
            </w:r>
            <w:r w:rsidR="00EE1C49" w:rsidRPr="00C238D0">
              <w:rPr>
                <w:rFonts w:ascii="Calibri" w:hAnsi="Calibri" w:cs="Calibri"/>
              </w:rPr>
              <w:t>)</w:t>
            </w:r>
            <w:r w:rsidRPr="00C238D0">
              <w:rPr>
                <w:rFonts w:ascii="Calibri" w:hAnsi="Calibri" w:cs="Calibri"/>
              </w:rPr>
              <w:t xml:space="preserve"> program center or manage or run one; however, the TA&amp;D program center can partner with other entities to provide parts of the solution. </w:t>
            </w:r>
            <w:r w:rsidR="00795FBE" w:rsidRPr="00C238D0">
              <w:rPr>
                <w:rFonts w:ascii="Calibri" w:hAnsi="Calibri" w:cs="Calibri"/>
              </w:rPr>
              <w:t>Applicants must be a current or recent (within 24 months) federally funded TA&amp;D</w:t>
            </w:r>
            <w:r w:rsidR="00EE1C49" w:rsidRPr="00C238D0">
              <w:rPr>
                <w:rFonts w:ascii="Calibri" w:hAnsi="Calibri" w:cs="Calibri"/>
              </w:rPr>
              <w:t xml:space="preserve"> </w:t>
            </w:r>
            <w:r w:rsidR="00795FBE" w:rsidRPr="00C238D0">
              <w:rPr>
                <w:rFonts w:ascii="Calibri" w:hAnsi="Calibri" w:cs="Calibri"/>
              </w:rPr>
              <w:t>program center</w:t>
            </w:r>
            <w:r w:rsidR="00BC2B4D" w:rsidRPr="00C238D0">
              <w:rPr>
                <w:rFonts w:ascii="Calibri" w:hAnsi="Calibri" w:cs="Calibri"/>
              </w:rPr>
              <w:t xml:space="preserve"> or manage or run one</w:t>
            </w:r>
            <w:r w:rsidR="00795FBE" w:rsidRPr="00C238D0">
              <w:rPr>
                <w:rFonts w:ascii="Calibri" w:hAnsi="Calibri" w:cs="Calibri"/>
              </w:rPr>
              <w:t xml:space="preserve">. Any partnership with another firm must be disclosed to the ALSDE, and the </w:t>
            </w:r>
            <w:r w:rsidR="00E2001D" w:rsidRPr="00C238D0">
              <w:rPr>
                <w:rFonts w:ascii="Calibri" w:hAnsi="Calibri" w:cs="Calibri"/>
              </w:rPr>
              <w:t>applicant</w:t>
            </w:r>
            <w:r w:rsidR="00423298" w:rsidRPr="00C238D0">
              <w:rPr>
                <w:rFonts w:ascii="Calibri" w:hAnsi="Calibri" w:cs="Calibri"/>
              </w:rPr>
              <w:t>/</w:t>
            </w:r>
            <w:r w:rsidR="00795FBE" w:rsidRPr="00C238D0">
              <w:rPr>
                <w:rFonts w:ascii="Calibri" w:hAnsi="Calibri" w:cs="Calibri"/>
              </w:rPr>
              <w:t>selected vendor(s) must manage the partner and ensure all project performance.</w:t>
            </w:r>
            <w:r w:rsidR="00054B5A" w:rsidRPr="00C238D0">
              <w:rPr>
                <w:rFonts w:ascii="Calibri" w:hAnsi="Calibri" w:cs="Calibri"/>
              </w:rPr>
              <w:t xml:space="preserve"> </w:t>
            </w:r>
          </w:p>
        </w:tc>
      </w:tr>
      <w:tr w:rsidR="00D813B7" w14:paraId="7BFD5A4E" w14:textId="77777777" w:rsidTr="680EAA0F">
        <w:tc>
          <w:tcPr>
            <w:tcW w:w="7650" w:type="dxa"/>
          </w:tcPr>
          <w:p w14:paraId="08FFFC47" w14:textId="53F7D422" w:rsidR="00D813B7" w:rsidRPr="00C238D0" w:rsidRDefault="29E7771F" w:rsidP="00D813B7">
            <w:pPr>
              <w:rPr>
                <w:rFonts w:ascii="Calibri" w:hAnsi="Calibri" w:cs="Calibri"/>
              </w:rPr>
            </w:pPr>
            <w:r w:rsidRPr="00C238D0">
              <w:rPr>
                <w:rFonts w:ascii="Calibri" w:hAnsi="Calibri" w:cs="Calibri"/>
              </w:rPr>
              <w:t>Is ALSDE looking for professional learning tied to a particular program?</w:t>
            </w:r>
          </w:p>
        </w:tc>
        <w:tc>
          <w:tcPr>
            <w:tcW w:w="6840" w:type="dxa"/>
          </w:tcPr>
          <w:p w14:paraId="5F7DE66A" w14:textId="201D7403" w:rsidR="00D813B7" w:rsidRPr="00C238D0" w:rsidRDefault="00590C87">
            <w:pPr>
              <w:rPr>
                <w:rFonts w:ascii="Calibri" w:hAnsi="Calibri" w:cs="Calibri"/>
              </w:rPr>
            </w:pPr>
            <w:r w:rsidRPr="00C238D0">
              <w:rPr>
                <w:rFonts w:ascii="Calibri" w:hAnsi="Calibri" w:cs="Calibri"/>
              </w:rPr>
              <w:t xml:space="preserve">This RFP is </w:t>
            </w:r>
            <w:r w:rsidR="000B437E" w:rsidRPr="00C238D0">
              <w:rPr>
                <w:rFonts w:ascii="Calibri" w:hAnsi="Calibri" w:cs="Calibri"/>
              </w:rPr>
              <w:t xml:space="preserve">for </w:t>
            </w:r>
            <w:r w:rsidR="43F1AC93" w:rsidRPr="00C238D0">
              <w:rPr>
                <w:rFonts w:ascii="Calibri" w:hAnsi="Calibri" w:cs="Calibri"/>
              </w:rPr>
              <w:t>professional learning on evidence-based practices</w:t>
            </w:r>
            <w:r w:rsidR="00740F86">
              <w:rPr>
                <w:rFonts w:ascii="Calibri" w:hAnsi="Calibri" w:cs="Calibri"/>
              </w:rPr>
              <w:t xml:space="preserve"> (EBP)</w:t>
            </w:r>
            <w:r w:rsidR="0B255936" w:rsidRPr="00C238D0">
              <w:rPr>
                <w:rFonts w:ascii="Calibri" w:hAnsi="Calibri" w:cs="Calibri"/>
              </w:rPr>
              <w:t xml:space="preserve">, not a specific program. </w:t>
            </w:r>
            <w:r w:rsidR="00C7567E">
              <w:rPr>
                <w:rFonts w:ascii="Calibri" w:hAnsi="Calibri" w:cs="Calibri"/>
              </w:rPr>
              <w:t xml:space="preserve">The </w:t>
            </w:r>
            <w:r w:rsidR="00472662">
              <w:rPr>
                <w:rFonts w:ascii="Calibri" w:hAnsi="Calibri" w:cs="Calibri"/>
              </w:rPr>
              <w:t>training on EBPs</w:t>
            </w:r>
            <w:r w:rsidR="00740F86">
              <w:rPr>
                <w:rFonts w:ascii="Calibri" w:hAnsi="Calibri" w:cs="Calibri"/>
              </w:rPr>
              <w:t xml:space="preserve"> w</w:t>
            </w:r>
            <w:r w:rsidR="00B91EBF">
              <w:rPr>
                <w:rFonts w:ascii="Calibri" w:hAnsi="Calibri" w:cs="Calibri"/>
              </w:rPr>
              <w:t>ill</w:t>
            </w:r>
            <w:r w:rsidR="00740F86">
              <w:rPr>
                <w:rFonts w:ascii="Calibri" w:hAnsi="Calibri" w:cs="Calibri"/>
              </w:rPr>
              <w:t xml:space="preserve"> </w:t>
            </w:r>
            <w:r w:rsidR="00472662">
              <w:rPr>
                <w:rFonts w:ascii="Calibri" w:hAnsi="Calibri" w:cs="Calibri"/>
              </w:rPr>
              <w:t xml:space="preserve">complement </w:t>
            </w:r>
            <w:r w:rsidR="00052E31">
              <w:rPr>
                <w:rFonts w:ascii="Calibri" w:hAnsi="Calibri" w:cs="Calibri"/>
              </w:rPr>
              <w:t xml:space="preserve">the </w:t>
            </w:r>
            <w:r w:rsidR="00740F86">
              <w:rPr>
                <w:rFonts w:ascii="Calibri" w:hAnsi="Calibri" w:cs="Calibri"/>
              </w:rPr>
              <w:t>intensive interventions</w:t>
            </w:r>
            <w:r w:rsidR="00472662">
              <w:rPr>
                <w:rFonts w:ascii="Calibri" w:hAnsi="Calibri" w:cs="Calibri"/>
              </w:rPr>
              <w:t xml:space="preserve"> and programs used by the schools. </w:t>
            </w:r>
          </w:p>
        </w:tc>
      </w:tr>
      <w:tr w:rsidR="003F6ACC" w14:paraId="67DB6D73" w14:textId="77777777" w:rsidTr="680EAA0F">
        <w:tc>
          <w:tcPr>
            <w:tcW w:w="7650" w:type="dxa"/>
          </w:tcPr>
          <w:p w14:paraId="0D9757EB" w14:textId="2B4BFD9D" w:rsidR="003F6ACC" w:rsidRPr="00C238D0" w:rsidRDefault="003F6ACC" w:rsidP="00D813B7">
            <w:pPr>
              <w:rPr>
                <w:rFonts w:ascii="Calibri" w:hAnsi="Calibri" w:cs="Calibri"/>
              </w:rPr>
            </w:pPr>
            <w:r w:rsidRPr="00C238D0">
              <w:rPr>
                <w:rFonts w:ascii="Calibri" w:hAnsi="Calibri" w:cs="Calibri"/>
              </w:rPr>
              <w:lastRenderedPageBreak/>
              <w:t>Is ALSDE looking for program-agnostic professional learning?</w:t>
            </w:r>
          </w:p>
        </w:tc>
        <w:tc>
          <w:tcPr>
            <w:tcW w:w="6840" w:type="dxa"/>
          </w:tcPr>
          <w:p w14:paraId="02148267" w14:textId="52AE23F4" w:rsidR="003F6ACC" w:rsidRPr="00C238D0" w:rsidRDefault="00B91EBF">
            <w:pPr>
              <w:rPr>
                <w:rFonts w:ascii="Calibri" w:hAnsi="Calibri" w:cs="Calibri"/>
              </w:rPr>
            </w:pPr>
            <w:r w:rsidRPr="00B91EBF">
              <w:rPr>
                <w:rFonts w:ascii="Calibri" w:hAnsi="Calibri" w:cs="Calibri"/>
              </w:rPr>
              <w:t xml:space="preserve">This RFP is for professional learning on evidence-based practices (EBP), not a specific program. The training on EBPs </w:t>
            </w:r>
            <w:r>
              <w:rPr>
                <w:rFonts w:ascii="Calibri" w:hAnsi="Calibri" w:cs="Calibri"/>
              </w:rPr>
              <w:t>will</w:t>
            </w:r>
            <w:r w:rsidRPr="00B91EBF">
              <w:rPr>
                <w:rFonts w:ascii="Calibri" w:hAnsi="Calibri" w:cs="Calibri"/>
              </w:rPr>
              <w:t xml:space="preserve"> complement the intensive interventions and programs used by the schools. </w:t>
            </w:r>
          </w:p>
        </w:tc>
      </w:tr>
      <w:tr w:rsidR="003F6ACC" w14:paraId="2D45053C" w14:textId="77777777" w:rsidTr="680EAA0F">
        <w:tc>
          <w:tcPr>
            <w:tcW w:w="7650" w:type="dxa"/>
          </w:tcPr>
          <w:p w14:paraId="1711AAD9" w14:textId="7E00504E" w:rsidR="003F6ACC" w:rsidRPr="00C238D0" w:rsidRDefault="003F6ACC" w:rsidP="00D813B7">
            <w:pPr>
              <w:rPr>
                <w:rFonts w:ascii="Calibri" w:hAnsi="Calibri" w:cs="Calibri"/>
              </w:rPr>
            </w:pPr>
            <w:r w:rsidRPr="00C238D0">
              <w:rPr>
                <w:rFonts w:ascii="Calibri" w:hAnsi="Calibri" w:cs="Calibri"/>
              </w:rPr>
              <w:t>Would ALSDE be open to both program-specific and agnostic professional learning options?</w:t>
            </w:r>
          </w:p>
        </w:tc>
        <w:tc>
          <w:tcPr>
            <w:tcW w:w="6840" w:type="dxa"/>
          </w:tcPr>
          <w:p w14:paraId="1BD3F404" w14:textId="00A02AD5" w:rsidR="003F6ACC" w:rsidRPr="00C238D0" w:rsidRDefault="0075065A">
            <w:pPr>
              <w:rPr>
                <w:rFonts w:ascii="Calibri" w:hAnsi="Calibri" w:cs="Calibri"/>
              </w:rPr>
            </w:pPr>
            <w:r w:rsidRPr="00B91EBF">
              <w:rPr>
                <w:rFonts w:ascii="Calibri" w:hAnsi="Calibri" w:cs="Calibri"/>
              </w:rPr>
              <w:t xml:space="preserve">This RFP is for professional learning on evidence-based practices (EBP), not a specific program. The training on EBPs </w:t>
            </w:r>
            <w:r>
              <w:rPr>
                <w:rFonts w:ascii="Calibri" w:hAnsi="Calibri" w:cs="Calibri"/>
              </w:rPr>
              <w:t>will</w:t>
            </w:r>
            <w:r w:rsidRPr="00B91EBF">
              <w:rPr>
                <w:rFonts w:ascii="Calibri" w:hAnsi="Calibri" w:cs="Calibri"/>
              </w:rPr>
              <w:t xml:space="preserve"> complement the intensive interventions and programs used by the schools. </w:t>
            </w:r>
          </w:p>
        </w:tc>
      </w:tr>
      <w:tr w:rsidR="1E41CC1E" w14:paraId="74DFF7F7" w14:textId="77777777" w:rsidTr="680EAA0F">
        <w:trPr>
          <w:trHeight w:val="300"/>
        </w:trPr>
        <w:tc>
          <w:tcPr>
            <w:tcW w:w="7650" w:type="dxa"/>
          </w:tcPr>
          <w:p w14:paraId="5A8071CA" w14:textId="6DE03CC9" w:rsidR="29E7771F" w:rsidRPr="00C238D0" w:rsidRDefault="29E7771F" w:rsidP="1E41CC1E">
            <w:pPr>
              <w:rPr>
                <w:rFonts w:ascii="Calibri" w:hAnsi="Calibri" w:cs="Calibri"/>
              </w:rPr>
            </w:pPr>
            <w:r w:rsidRPr="00C238D0">
              <w:rPr>
                <w:rFonts w:ascii="Calibri" w:hAnsi="Calibri" w:cs="Calibri"/>
              </w:rPr>
              <w:t>Can ALSDE provide more details / clarification on what "transition" entails for Transition Planning?</w:t>
            </w:r>
          </w:p>
        </w:tc>
        <w:tc>
          <w:tcPr>
            <w:tcW w:w="6840" w:type="dxa"/>
          </w:tcPr>
          <w:p w14:paraId="10C0A0B7" w14:textId="77777777" w:rsidR="00BB1251" w:rsidRPr="00C238D0" w:rsidRDefault="79CF4B3A">
            <w:pPr>
              <w:pStyle w:val="p1"/>
              <w:divId w:val="1404569683"/>
              <w:rPr>
                <w:rFonts w:ascii="Calibri" w:hAnsi="Calibri" w:cs="Calibri"/>
                <w:sz w:val="24"/>
                <w:szCs w:val="24"/>
              </w:rPr>
            </w:pPr>
            <w:r w:rsidRPr="00C238D0">
              <w:rPr>
                <w:rFonts w:ascii="Calibri" w:hAnsi="Calibri" w:cs="Calibri"/>
                <w:sz w:val="24"/>
                <w:szCs w:val="24"/>
              </w:rPr>
              <w:t xml:space="preserve">Transition planning is a coordinated set of activities </w:t>
            </w:r>
            <w:r w:rsidR="000326B6" w:rsidRPr="00C238D0">
              <w:rPr>
                <w:rFonts w:ascii="Calibri" w:hAnsi="Calibri" w:cs="Calibri"/>
                <w:sz w:val="24"/>
                <w:szCs w:val="24"/>
              </w:rPr>
              <w:t>mandated by the I</w:t>
            </w:r>
            <w:r w:rsidR="000326B6" w:rsidRPr="00C238D0">
              <w:rPr>
                <w:rFonts w:ascii="Calibri" w:hAnsi="Calibri" w:cs="Calibri"/>
                <w:i/>
                <w:iCs/>
                <w:sz w:val="24"/>
                <w:szCs w:val="24"/>
              </w:rPr>
              <w:t>ndividuals with Disabilities Education Act</w:t>
            </w:r>
            <w:r w:rsidR="000326B6" w:rsidRPr="00C238D0">
              <w:rPr>
                <w:rFonts w:ascii="Calibri" w:hAnsi="Calibri" w:cs="Calibri"/>
                <w:sz w:val="24"/>
                <w:szCs w:val="24"/>
              </w:rPr>
              <w:t xml:space="preserve"> (IDEA</w:t>
            </w:r>
            <w:r w:rsidR="002E417A" w:rsidRPr="00C238D0">
              <w:rPr>
                <w:rFonts w:ascii="Calibri" w:hAnsi="Calibri" w:cs="Calibri"/>
                <w:sz w:val="24"/>
                <w:szCs w:val="24"/>
              </w:rPr>
              <w:t xml:space="preserve">) </w:t>
            </w:r>
            <w:r w:rsidRPr="00C238D0">
              <w:rPr>
                <w:rFonts w:ascii="Calibri" w:hAnsi="Calibri" w:cs="Calibri"/>
                <w:sz w:val="24"/>
                <w:szCs w:val="24"/>
              </w:rPr>
              <w:t xml:space="preserve">designed to help </w:t>
            </w:r>
            <w:r w:rsidR="00014AA4" w:rsidRPr="00C238D0">
              <w:rPr>
                <w:rFonts w:ascii="Calibri" w:hAnsi="Calibri" w:cs="Calibri"/>
                <w:sz w:val="24"/>
                <w:szCs w:val="24"/>
              </w:rPr>
              <w:t xml:space="preserve">youth and young adults with disabilities </w:t>
            </w:r>
            <w:r w:rsidR="00533BE2" w:rsidRPr="00C238D0">
              <w:rPr>
                <w:rFonts w:ascii="Calibri" w:hAnsi="Calibri" w:cs="Calibri"/>
                <w:sz w:val="24"/>
                <w:szCs w:val="24"/>
              </w:rPr>
              <w:t xml:space="preserve">successfully </w:t>
            </w:r>
            <w:r w:rsidRPr="00C238D0">
              <w:rPr>
                <w:rFonts w:ascii="Calibri" w:hAnsi="Calibri" w:cs="Calibri"/>
                <w:sz w:val="24"/>
                <w:szCs w:val="24"/>
              </w:rPr>
              <w:t xml:space="preserve">move from high school to </w:t>
            </w:r>
            <w:r w:rsidR="00337DF4" w:rsidRPr="00C238D0">
              <w:rPr>
                <w:rFonts w:ascii="Calibri" w:hAnsi="Calibri" w:cs="Calibri"/>
                <w:sz w:val="24"/>
                <w:szCs w:val="24"/>
              </w:rPr>
              <w:t>adult</w:t>
            </w:r>
            <w:r w:rsidRPr="00C238D0">
              <w:rPr>
                <w:rFonts w:ascii="Calibri" w:hAnsi="Calibri" w:cs="Calibri"/>
                <w:sz w:val="24"/>
                <w:szCs w:val="24"/>
              </w:rPr>
              <w:t xml:space="preserve"> life, including further education, employment, and independent living.</w:t>
            </w:r>
            <w:r w:rsidR="00BB1251" w:rsidRPr="00C238D0">
              <w:rPr>
                <w:rFonts w:ascii="Calibri" w:hAnsi="Calibri" w:cs="Calibri"/>
                <w:sz w:val="24"/>
                <w:szCs w:val="24"/>
              </w:rPr>
              <w:t xml:space="preserve"> </w:t>
            </w:r>
            <w:r w:rsidR="00BB1251" w:rsidRPr="00C238D0">
              <w:rPr>
                <w:rStyle w:val="s1"/>
                <w:rFonts w:ascii="Calibri" w:hAnsi="Calibri" w:cs="Calibri"/>
                <w:sz w:val="24"/>
                <w:szCs w:val="24"/>
              </w:rPr>
              <w:t>Transition planning involves students identifying interests, preferences, strengths, and areas where they need support. It also includes developing measurable goals, identifying appropriate courses of study, and coordinating with relevant agencies or organizations.</w:t>
            </w:r>
            <w:r w:rsidR="00BB1251" w:rsidRPr="00C238D0">
              <w:rPr>
                <w:rStyle w:val="apple-converted-space"/>
                <w:rFonts w:ascii="Calibri" w:hAnsi="Calibri" w:cs="Calibri"/>
                <w:sz w:val="24"/>
                <w:szCs w:val="24"/>
              </w:rPr>
              <w:t> </w:t>
            </w:r>
          </w:p>
          <w:p w14:paraId="18344849" w14:textId="48E25529" w:rsidR="004A07E1" w:rsidRPr="00C238D0" w:rsidRDefault="004A07E1" w:rsidP="1E41CC1E">
            <w:pPr>
              <w:rPr>
                <w:rFonts w:ascii="Calibri" w:hAnsi="Calibri" w:cs="Calibri"/>
              </w:rPr>
            </w:pPr>
          </w:p>
        </w:tc>
      </w:tr>
      <w:tr w:rsidR="1E41CC1E" w14:paraId="4094704A" w14:textId="77777777" w:rsidTr="680EAA0F">
        <w:trPr>
          <w:trHeight w:val="300"/>
        </w:trPr>
        <w:tc>
          <w:tcPr>
            <w:tcW w:w="7650" w:type="dxa"/>
          </w:tcPr>
          <w:p w14:paraId="3662728E" w14:textId="4A30F841" w:rsidR="29E7771F" w:rsidRPr="00C238D0" w:rsidRDefault="29E7771F" w:rsidP="1E41CC1E">
            <w:pPr>
              <w:rPr>
                <w:rFonts w:ascii="Calibri" w:hAnsi="Calibri" w:cs="Calibri"/>
              </w:rPr>
            </w:pPr>
            <w:r w:rsidRPr="00C238D0">
              <w:rPr>
                <w:rFonts w:ascii="Calibri" w:hAnsi="Calibri" w:cs="Calibri"/>
              </w:rPr>
              <w:t>Can ALSDE provide more details / clarification on what they are looking for in "student-led IEPs"</w:t>
            </w:r>
          </w:p>
        </w:tc>
        <w:tc>
          <w:tcPr>
            <w:tcW w:w="6840" w:type="dxa"/>
          </w:tcPr>
          <w:p w14:paraId="69C1F676" w14:textId="74E7741D" w:rsidR="401AC672" w:rsidRPr="00C238D0" w:rsidRDefault="401AC672" w:rsidP="1E41CC1E">
            <w:pPr>
              <w:rPr>
                <w:rFonts w:ascii="Calibri" w:hAnsi="Calibri" w:cs="Calibri"/>
              </w:rPr>
            </w:pPr>
            <w:r w:rsidRPr="00C238D0">
              <w:rPr>
                <w:rFonts w:ascii="Calibri" w:hAnsi="Calibri" w:cs="Calibri"/>
              </w:rPr>
              <w:t xml:space="preserve">Student-led </w:t>
            </w:r>
            <w:r w:rsidR="000E3EF8" w:rsidRPr="00C238D0">
              <w:rPr>
                <w:rFonts w:ascii="Calibri" w:hAnsi="Calibri" w:cs="Calibri"/>
              </w:rPr>
              <w:t>i</w:t>
            </w:r>
            <w:r w:rsidRPr="00C238D0">
              <w:rPr>
                <w:rFonts w:ascii="Calibri" w:hAnsi="Calibri" w:cs="Calibri"/>
              </w:rPr>
              <w:t xml:space="preserve">ndividualized </w:t>
            </w:r>
            <w:r w:rsidR="000E3EF8" w:rsidRPr="00C238D0">
              <w:rPr>
                <w:rFonts w:ascii="Calibri" w:hAnsi="Calibri" w:cs="Calibri"/>
              </w:rPr>
              <w:t>e</w:t>
            </w:r>
            <w:r w:rsidRPr="00C238D0">
              <w:rPr>
                <w:rFonts w:ascii="Calibri" w:hAnsi="Calibri" w:cs="Calibri"/>
              </w:rPr>
              <w:t xml:space="preserve">ducation </w:t>
            </w:r>
            <w:r w:rsidR="00867D93" w:rsidRPr="00C238D0">
              <w:rPr>
                <w:rFonts w:ascii="Calibri" w:hAnsi="Calibri" w:cs="Calibri"/>
              </w:rPr>
              <w:t>p</w:t>
            </w:r>
            <w:r w:rsidRPr="00C238D0">
              <w:rPr>
                <w:rFonts w:ascii="Calibri" w:hAnsi="Calibri" w:cs="Calibri"/>
              </w:rPr>
              <w:t xml:space="preserve">rograms (IEPs) are a model where students with disabilities actively participate in, and even lead, the development and implementation of their own IEPs. </w:t>
            </w:r>
          </w:p>
        </w:tc>
      </w:tr>
      <w:tr w:rsidR="1E41CC1E" w14:paraId="0CD2E907" w14:textId="77777777" w:rsidTr="680EAA0F">
        <w:trPr>
          <w:trHeight w:val="300"/>
        </w:trPr>
        <w:tc>
          <w:tcPr>
            <w:tcW w:w="7650" w:type="dxa"/>
          </w:tcPr>
          <w:p w14:paraId="3E0477E7" w14:textId="712F1CA0" w:rsidR="29E7771F" w:rsidRPr="00C238D0" w:rsidRDefault="29E7771F" w:rsidP="1E41CC1E">
            <w:pPr>
              <w:rPr>
                <w:rFonts w:ascii="Calibri" w:hAnsi="Calibri" w:cs="Calibri"/>
              </w:rPr>
            </w:pPr>
            <w:r w:rsidRPr="00C238D0">
              <w:rPr>
                <w:rFonts w:ascii="Calibri" w:hAnsi="Calibri" w:cs="Calibri"/>
              </w:rPr>
              <w:t>"Implementation of transition curriculum" - Is ALSDE asking vendors to implement ALSDE's own transition curriculum, or to provide ALSDE with transition curriculum?</w:t>
            </w:r>
          </w:p>
        </w:tc>
        <w:tc>
          <w:tcPr>
            <w:tcW w:w="6840" w:type="dxa"/>
          </w:tcPr>
          <w:p w14:paraId="7062A257" w14:textId="480A0AC0" w:rsidR="459C9726" w:rsidRPr="00C238D0" w:rsidRDefault="459C9726" w:rsidP="1E41CC1E">
            <w:pPr>
              <w:rPr>
                <w:rFonts w:ascii="Calibri" w:hAnsi="Calibri" w:cs="Calibri"/>
              </w:rPr>
            </w:pPr>
            <w:r w:rsidRPr="00C238D0">
              <w:rPr>
                <w:rFonts w:ascii="Calibri" w:hAnsi="Calibri" w:cs="Calibri"/>
              </w:rPr>
              <w:t xml:space="preserve">Neither.  </w:t>
            </w:r>
            <w:proofErr w:type="gramStart"/>
            <w:r w:rsidRPr="00C238D0">
              <w:rPr>
                <w:rFonts w:ascii="Calibri" w:hAnsi="Calibri" w:cs="Calibri"/>
              </w:rPr>
              <w:t>The professional</w:t>
            </w:r>
            <w:proofErr w:type="gramEnd"/>
            <w:r w:rsidRPr="00C238D0">
              <w:rPr>
                <w:rFonts w:ascii="Calibri" w:hAnsi="Calibri" w:cs="Calibri"/>
              </w:rPr>
              <w:t xml:space="preserve"> learning would support the implementation, to fidelity, of an evidence-based transition curriculum </w:t>
            </w:r>
            <w:r w:rsidR="00B75220" w:rsidRPr="00C238D0">
              <w:rPr>
                <w:rFonts w:ascii="Calibri" w:hAnsi="Calibri" w:cs="Calibri"/>
              </w:rPr>
              <w:t>selected</w:t>
            </w:r>
            <w:r w:rsidR="005139B2" w:rsidRPr="00C238D0">
              <w:rPr>
                <w:rFonts w:ascii="Calibri" w:hAnsi="Calibri" w:cs="Calibri"/>
              </w:rPr>
              <w:t xml:space="preserve"> by, purchased </w:t>
            </w:r>
            <w:r w:rsidR="1960F063" w:rsidRPr="00C238D0">
              <w:rPr>
                <w:rFonts w:ascii="Calibri" w:hAnsi="Calibri" w:cs="Calibri"/>
              </w:rPr>
              <w:t>by</w:t>
            </w:r>
            <w:r w:rsidR="005139B2" w:rsidRPr="00C238D0">
              <w:rPr>
                <w:rFonts w:ascii="Calibri" w:hAnsi="Calibri" w:cs="Calibri"/>
              </w:rPr>
              <w:t xml:space="preserve">, </w:t>
            </w:r>
            <w:r w:rsidR="15DA94F8" w:rsidRPr="00C238D0">
              <w:rPr>
                <w:rFonts w:ascii="Calibri" w:hAnsi="Calibri" w:cs="Calibri"/>
              </w:rPr>
              <w:t xml:space="preserve">and </w:t>
            </w:r>
            <w:r w:rsidRPr="00C238D0">
              <w:rPr>
                <w:rFonts w:ascii="Calibri" w:hAnsi="Calibri" w:cs="Calibri"/>
              </w:rPr>
              <w:t>used</w:t>
            </w:r>
            <w:r w:rsidR="58361E6D" w:rsidRPr="00C238D0">
              <w:rPr>
                <w:rFonts w:ascii="Calibri" w:hAnsi="Calibri" w:cs="Calibri"/>
              </w:rPr>
              <w:t xml:space="preserve"> in </w:t>
            </w:r>
            <w:r w:rsidR="0B64DC74" w:rsidRPr="00C238D0">
              <w:rPr>
                <w:rFonts w:ascii="Calibri" w:hAnsi="Calibri" w:cs="Calibri"/>
              </w:rPr>
              <w:t xml:space="preserve">a school or schools within </w:t>
            </w:r>
            <w:r w:rsidR="00755082" w:rsidRPr="00C238D0">
              <w:rPr>
                <w:rFonts w:ascii="Calibri" w:hAnsi="Calibri" w:cs="Calibri"/>
              </w:rPr>
              <w:t>a</w:t>
            </w:r>
            <w:r w:rsidR="0B64DC74" w:rsidRPr="00C238D0">
              <w:rPr>
                <w:rFonts w:ascii="Calibri" w:hAnsi="Calibri" w:cs="Calibri"/>
              </w:rPr>
              <w:t xml:space="preserve"> </w:t>
            </w:r>
            <w:r w:rsidR="001D5872" w:rsidRPr="00C238D0">
              <w:rPr>
                <w:rFonts w:ascii="Calibri" w:hAnsi="Calibri" w:cs="Calibri"/>
              </w:rPr>
              <w:t>local education agency (</w:t>
            </w:r>
            <w:r w:rsidR="0B64DC74" w:rsidRPr="00C238D0">
              <w:rPr>
                <w:rFonts w:ascii="Calibri" w:hAnsi="Calibri" w:cs="Calibri"/>
              </w:rPr>
              <w:t>LEA</w:t>
            </w:r>
            <w:r w:rsidR="00755082" w:rsidRPr="00C238D0">
              <w:rPr>
                <w:rFonts w:ascii="Calibri" w:hAnsi="Calibri" w:cs="Calibri"/>
              </w:rPr>
              <w:t>)</w:t>
            </w:r>
            <w:r w:rsidR="0B64DC74" w:rsidRPr="00C238D0">
              <w:rPr>
                <w:rFonts w:ascii="Calibri" w:hAnsi="Calibri" w:cs="Calibri"/>
              </w:rPr>
              <w:t xml:space="preserve">. </w:t>
            </w:r>
          </w:p>
        </w:tc>
      </w:tr>
      <w:tr w:rsidR="680EAA0F" w14:paraId="056DA113" w14:textId="77777777" w:rsidTr="680EAA0F">
        <w:trPr>
          <w:trHeight w:val="300"/>
        </w:trPr>
        <w:tc>
          <w:tcPr>
            <w:tcW w:w="7650" w:type="dxa"/>
          </w:tcPr>
          <w:p w14:paraId="7858B146" w14:textId="2A4A24F5" w:rsidR="5A849DBC" w:rsidRDefault="5A849DBC" w:rsidP="680EAA0F">
            <w:pPr>
              <w:rPr>
                <w:rFonts w:ascii="Calibri" w:hAnsi="Calibri" w:cs="Calibri"/>
              </w:rPr>
            </w:pPr>
            <w:r w:rsidRPr="680EAA0F">
              <w:rPr>
                <w:rFonts w:ascii="Calibri" w:hAnsi="Calibri" w:cs="Calibri"/>
              </w:rPr>
              <w:t>Would the application only apply to businesses that reside in Alabama?</w:t>
            </w:r>
          </w:p>
        </w:tc>
        <w:tc>
          <w:tcPr>
            <w:tcW w:w="6840" w:type="dxa"/>
          </w:tcPr>
          <w:p w14:paraId="2AF7184A" w14:textId="43FAFF5B" w:rsidR="5A849DBC" w:rsidRDefault="00E23F9F" w:rsidP="680EAA0F">
            <w:pPr>
              <w:rPr>
                <w:rFonts w:ascii="Calibri" w:eastAsia="Calibri" w:hAnsi="Calibri" w:cs="Calibri"/>
              </w:rPr>
            </w:pPr>
            <w:r>
              <w:rPr>
                <w:rFonts w:ascii="Calibri" w:eastAsia="Calibri" w:hAnsi="Calibri" w:cs="Calibri"/>
              </w:rPr>
              <w:t>Applicants for this RFP are not required to reside in Alabama</w:t>
            </w:r>
            <w:r w:rsidR="5A849DBC" w:rsidRPr="680EAA0F">
              <w:rPr>
                <w:rFonts w:ascii="Calibri" w:eastAsia="Calibri" w:hAnsi="Calibri" w:cs="Calibri"/>
              </w:rPr>
              <w:t xml:space="preserve">. Eligible </w:t>
            </w:r>
            <w:r w:rsidR="00A9791D">
              <w:rPr>
                <w:rFonts w:ascii="Calibri" w:eastAsia="Calibri" w:hAnsi="Calibri" w:cs="Calibri"/>
              </w:rPr>
              <w:t xml:space="preserve">applicants </w:t>
            </w:r>
            <w:r w:rsidR="73B518CE" w:rsidRPr="680EAA0F">
              <w:rPr>
                <w:rFonts w:ascii="Calibri" w:eastAsia="Calibri" w:hAnsi="Calibri" w:cs="Calibri"/>
                <w:color w:val="000000" w:themeColor="text1"/>
              </w:rPr>
              <w:t>must currently or previously (within the last 24 months) be a federally funded Technical Assistance and Dissemination (TA&amp;D) program center or manage or run one.</w:t>
            </w:r>
          </w:p>
        </w:tc>
      </w:tr>
    </w:tbl>
    <w:p w14:paraId="4BFF1B97" w14:textId="1EB7099E" w:rsidR="1E41CC1E" w:rsidRDefault="1E41CC1E"/>
    <w:p w14:paraId="17DECF04" w14:textId="77777777" w:rsidR="001E0572" w:rsidRDefault="001E0572"/>
    <w:sectPr w:rsidR="001E0572" w:rsidSect="00D813B7">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F43B5" w14:textId="77777777" w:rsidR="00595905" w:rsidRDefault="00595905" w:rsidP="0089678E">
      <w:pPr>
        <w:spacing w:after="0" w:line="240" w:lineRule="auto"/>
      </w:pPr>
      <w:r>
        <w:separator/>
      </w:r>
    </w:p>
  </w:endnote>
  <w:endnote w:type="continuationSeparator" w:id="0">
    <w:p w14:paraId="05EFF998" w14:textId="77777777" w:rsidR="00595905" w:rsidRDefault="00595905" w:rsidP="0089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mbria"/>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DEAC" w14:textId="77777777" w:rsidR="00394979" w:rsidRDefault="0039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FB95" w14:textId="77777777" w:rsidR="00394979" w:rsidRDefault="0039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3A74" w14:textId="77777777" w:rsidR="00394979" w:rsidRDefault="0039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2F44" w14:textId="77777777" w:rsidR="00595905" w:rsidRDefault="00595905" w:rsidP="0089678E">
      <w:pPr>
        <w:spacing w:after="0" w:line="240" w:lineRule="auto"/>
      </w:pPr>
      <w:r>
        <w:separator/>
      </w:r>
    </w:p>
  </w:footnote>
  <w:footnote w:type="continuationSeparator" w:id="0">
    <w:p w14:paraId="3E6C9D10" w14:textId="77777777" w:rsidR="00595905" w:rsidRDefault="00595905" w:rsidP="00896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9E9A" w14:textId="77777777" w:rsidR="00394979" w:rsidRDefault="0039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2403" w14:textId="5C935541" w:rsidR="0089678E" w:rsidRDefault="0089678E" w:rsidP="0089678E">
    <w:pPr>
      <w:pStyle w:val="Header"/>
      <w:tabs>
        <w:tab w:val="left" w:pos="3195"/>
      </w:tabs>
      <w:jc w:val="center"/>
      <w:rPr>
        <w:b/>
        <w:lang w:val="en"/>
      </w:rPr>
    </w:pPr>
    <w:r w:rsidRPr="004C1BC7">
      <w:rPr>
        <w:b/>
        <w:lang w:val="en"/>
      </w:rPr>
      <w:t>RFP 2025-</w:t>
    </w:r>
    <w:r>
      <w:rPr>
        <w:b/>
        <w:lang w:val="en"/>
      </w:rPr>
      <w:t>12 Responses: Q &amp; A</w:t>
    </w:r>
  </w:p>
  <w:p w14:paraId="3CB703DB" w14:textId="77777777" w:rsidR="00394979" w:rsidRPr="001C0ADB" w:rsidRDefault="00394979" w:rsidP="00394979">
    <w:pPr>
      <w:spacing w:after="120" w:line="240" w:lineRule="auto"/>
      <w:jc w:val="center"/>
      <w:rPr>
        <w:rFonts w:ascii="Times New Roman" w:eastAsia="Times New Roman" w:hAnsi="Times New Roman" w:cs="Times New Roman"/>
        <w:b/>
        <w:bCs/>
        <w:sz w:val="23"/>
        <w:szCs w:val="23"/>
      </w:rPr>
    </w:pPr>
    <w:r w:rsidRPr="001C0ADB">
      <w:rPr>
        <w:rFonts w:ascii="Times New Roman" w:eastAsia="Times New Roman" w:hAnsi="Times New Roman" w:cs="Times New Roman"/>
        <w:b/>
        <w:bCs/>
        <w:sz w:val="23"/>
        <w:szCs w:val="23"/>
      </w:rPr>
      <w:t>READING INTERVENTION FOR STUDENTS WITH DISABILITIES IN GRADES 4-8</w:t>
    </w:r>
  </w:p>
  <w:p w14:paraId="541BCB63" w14:textId="77777777" w:rsidR="00394979" w:rsidRPr="001C0ADB" w:rsidRDefault="00394979" w:rsidP="00394979">
    <w:pPr>
      <w:spacing w:after="0" w:line="240" w:lineRule="auto"/>
      <w:jc w:val="center"/>
      <w:rPr>
        <w:rFonts w:ascii="Times New Roman" w:eastAsia="Times New Roman" w:hAnsi="Times New Roman" w:cs="Times New Roman"/>
        <w:b/>
        <w:bCs/>
        <w:sz w:val="23"/>
        <w:szCs w:val="23"/>
      </w:rPr>
    </w:pPr>
    <w:r w:rsidRPr="001C0ADB">
      <w:rPr>
        <w:rFonts w:ascii="Times New Roman" w:eastAsia="Times New Roman" w:hAnsi="Times New Roman" w:cs="Times New Roman"/>
        <w:b/>
        <w:bCs/>
        <w:sz w:val="23"/>
        <w:szCs w:val="23"/>
      </w:rPr>
      <w:t xml:space="preserve"> AND TRANSITION PLANNING FOR STUDENTS WITH DISABILITIES </w:t>
    </w:r>
  </w:p>
  <w:p w14:paraId="349ABC74" w14:textId="77777777" w:rsidR="0089678E" w:rsidRDefault="00896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C4E2" w14:textId="77777777" w:rsidR="00394979" w:rsidRDefault="0039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3D6"/>
    <w:multiLevelType w:val="multilevel"/>
    <w:tmpl w:val="626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7447F"/>
    <w:multiLevelType w:val="hybridMultilevel"/>
    <w:tmpl w:val="7A020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3F003E"/>
    <w:multiLevelType w:val="hybridMultilevel"/>
    <w:tmpl w:val="E2AC7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89338D"/>
    <w:multiLevelType w:val="multilevel"/>
    <w:tmpl w:val="BF24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7673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2229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973018">
    <w:abstractNumId w:val="0"/>
  </w:num>
  <w:num w:numId="4" w16cid:durableId="1079248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4A"/>
    <w:rsid w:val="00012A13"/>
    <w:rsid w:val="00014AA4"/>
    <w:rsid w:val="00023ECD"/>
    <w:rsid w:val="0002440C"/>
    <w:rsid w:val="000309F6"/>
    <w:rsid w:val="000326B6"/>
    <w:rsid w:val="000468E8"/>
    <w:rsid w:val="00052E31"/>
    <w:rsid w:val="00054B5A"/>
    <w:rsid w:val="00057FD4"/>
    <w:rsid w:val="00086BEF"/>
    <w:rsid w:val="00090947"/>
    <w:rsid w:val="000B437E"/>
    <w:rsid w:val="000C4E94"/>
    <w:rsid w:val="000C5701"/>
    <w:rsid w:val="000D0A51"/>
    <w:rsid w:val="000E3EF8"/>
    <w:rsid w:val="00102BD3"/>
    <w:rsid w:val="0013648D"/>
    <w:rsid w:val="00147550"/>
    <w:rsid w:val="00170121"/>
    <w:rsid w:val="001A3002"/>
    <w:rsid w:val="001D5872"/>
    <w:rsid w:val="001E0572"/>
    <w:rsid w:val="001F0DDD"/>
    <w:rsid w:val="001F358E"/>
    <w:rsid w:val="00204466"/>
    <w:rsid w:val="00211E5A"/>
    <w:rsid w:val="00217CA8"/>
    <w:rsid w:val="00234AF1"/>
    <w:rsid w:val="00282910"/>
    <w:rsid w:val="002A580B"/>
    <w:rsid w:val="002A7ABA"/>
    <w:rsid w:val="002D3CF7"/>
    <w:rsid w:val="002E417A"/>
    <w:rsid w:val="002E4ED9"/>
    <w:rsid w:val="003058BE"/>
    <w:rsid w:val="00327F3F"/>
    <w:rsid w:val="00337DF4"/>
    <w:rsid w:val="00356260"/>
    <w:rsid w:val="00391D96"/>
    <w:rsid w:val="00394979"/>
    <w:rsid w:val="003A14D9"/>
    <w:rsid w:val="003E177C"/>
    <w:rsid w:val="003E6F78"/>
    <w:rsid w:val="003F6ACC"/>
    <w:rsid w:val="003F760B"/>
    <w:rsid w:val="0041706F"/>
    <w:rsid w:val="00423298"/>
    <w:rsid w:val="004426ED"/>
    <w:rsid w:val="00467C07"/>
    <w:rsid w:val="004714C3"/>
    <w:rsid w:val="00472662"/>
    <w:rsid w:val="00482F48"/>
    <w:rsid w:val="00484095"/>
    <w:rsid w:val="00484CD6"/>
    <w:rsid w:val="00485488"/>
    <w:rsid w:val="004A07E1"/>
    <w:rsid w:val="004A716E"/>
    <w:rsid w:val="004C3D3B"/>
    <w:rsid w:val="004E0396"/>
    <w:rsid w:val="005139B2"/>
    <w:rsid w:val="005275A7"/>
    <w:rsid w:val="00533BE2"/>
    <w:rsid w:val="00590966"/>
    <w:rsid w:val="00590C87"/>
    <w:rsid w:val="00595905"/>
    <w:rsid w:val="00596D67"/>
    <w:rsid w:val="005A69C3"/>
    <w:rsid w:val="005B5EA8"/>
    <w:rsid w:val="005D5E4A"/>
    <w:rsid w:val="005D778F"/>
    <w:rsid w:val="00685610"/>
    <w:rsid w:val="00691526"/>
    <w:rsid w:val="006A6C5E"/>
    <w:rsid w:val="006B55A9"/>
    <w:rsid w:val="006E4690"/>
    <w:rsid w:val="006F39C1"/>
    <w:rsid w:val="0070286F"/>
    <w:rsid w:val="007234CA"/>
    <w:rsid w:val="00740EFB"/>
    <w:rsid w:val="00740F86"/>
    <w:rsid w:val="0075065A"/>
    <w:rsid w:val="00755082"/>
    <w:rsid w:val="00791E5A"/>
    <w:rsid w:val="00795FBE"/>
    <w:rsid w:val="007A2282"/>
    <w:rsid w:val="007D4E69"/>
    <w:rsid w:val="008138AC"/>
    <w:rsid w:val="008216D5"/>
    <w:rsid w:val="00867D93"/>
    <w:rsid w:val="0089678E"/>
    <w:rsid w:val="008C183F"/>
    <w:rsid w:val="008C365B"/>
    <w:rsid w:val="00902274"/>
    <w:rsid w:val="0090697B"/>
    <w:rsid w:val="00932425"/>
    <w:rsid w:val="009462BB"/>
    <w:rsid w:val="0095796C"/>
    <w:rsid w:val="00962269"/>
    <w:rsid w:val="00966682"/>
    <w:rsid w:val="00977B5A"/>
    <w:rsid w:val="009B015D"/>
    <w:rsid w:val="009B66E0"/>
    <w:rsid w:val="009D7056"/>
    <w:rsid w:val="009F4BD7"/>
    <w:rsid w:val="00A275A8"/>
    <w:rsid w:val="00A715AF"/>
    <w:rsid w:val="00A7192F"/>
    <w:rsid w:val="00A9791D"/>
    <w:rsid w:val="00AA5E6A"/>
    <w:rsid w:val="00AD2DAE"/>
    <w:rsid w:val="00B00CB6"/>
    <w:rsid w:val="00B35E70"/>
    <w:rsid w:val="00B401A7"/>
    <w:rsid w:val="00B52FD0"/>
    <w:rsid w:val="00B75220"/>
    <w:rsid w:val="00B91EBF"/>
    <w:rsid w:val="00BA54DF"/>
    <w:rsid w:val="00BB1251"/>
    <w:rsid w:val="00BC2B4D"/>
    <w:rsid w:val="00C238D0"/>
    <w:rsid w:val="00C35A3C"/>
    <w:rsid w:val="00C51E44"/>
    <w:rsid w:val="00C55C5A"/>
    <w:rsid w:val="00C7567E"/>
    <w:rsid w:val="00C94530"/>
    <w:rsid w:val="00CB1E4D"/>
    <w:rsid w:val="00CE33D7"/>
    <w:rsid w:val="00CE5A59"/>
    <w:rsid w:val="00CF5174"/>
    <w:rsid w:val="00D026CF"/>
    <w:rsid w:val="00D26296"/>
    <w:rsid w:val="00D31924"/>
    <w:rsid w:val="00D56158"/>
    <w:rsid w:val="00D813B7"/>
    <w:rsid w:val="00D929C9"/>
    <w:rsid w:val="00DA539E"/>
    <w:rsid w:val="00DC46CE"/>
    <w:rsid w:val="00DD1AE6"/>
    <w:rsid w:val="00DE395E"/>
    <w:rsid w:val="00E14E79"/>
    <w:rsid w:val="00E2001D"/>
    <w:rsid w:val="00E23F9F"/>
    <w:rsid w:val="00E56ACF"/>
    <w:rsid w:val="00EC2A18"/>
    <w:rsid w:val="00EE0092"/>
    <w:rsid w:val="00EE1523"/>
    <w:rsid w:val="00EE1C49"/>
    <w:rsid w:val="00F23AD3"/>
    <w:rsid w:val="00F311D2"/>
    <w:rsid w:val="00FE4789"/>
    <w:rsid w:val="061863ED"/>
    <w:rsid w:val="0B255936"/>
    <w:rsid w:val="0B64DC74"/>
    <w:rsid w:val="0BC26F9B"/>
    <w:rsid w:val="0BEB8DA0"/>
    <w:rsid w:val="0C42BB51"/>
    <w:rsid w:val="0C9864A9"/>
    <w:rsid w:val="0DE5D006"/>
    <w:rsid w:val="0FFDED1A"/>
    <w:rsid w:val="11A480EE"/>
    <w:rsid w:val="120068C3"/>
    <w:rsid w:val="12503A76"/>
    <w:rsid w:val="13B43B01"/>
    <w:rsid w:val="1434FABB"/>
    <w:rsid w:val="15DA94F8"/>
    <w:rsid w:val="15FD8450"/>
    <w:rsid w:val="1960F063"/>
    <w:rsid w:val="1C17636F"/>
    <w:rsid w:val="1C928E92"/>
    <w:rsid w:val="1E41CC1E"/>
    <w:rsid w:val="22EFADFF"/>
    <w:rsid w:val="23AE4671"/>
    <w:rsid w:val="2576C687"/>
    <w:rsid w:val="280A27FB"/>
    <w:rsid w:val="294452EA"/>
    <w:rsid w:val="29E7771F"/>
    <w:rsid w:val="2AAFC264"/>
    <w:rsid w:val="307772F4"/>
    <w:rsid w:val="309361B2"/>
    <w:rsid w:val="319B6532"/>
    <w:rsid w:val="32A439A0"/>
    <w:rsid w:val="34DD9B3C"/>
    <w:rsid w:val="35C03C1B"/>
    <w:rsid w:val="3E45EB1A"/>
    <w:rsid w:val="3FA7B0E6"/>
    <w:rsid w:val="401AC672"/>
    <w:rsid w:val="41CC66FF"/>
    <w:rsid w:val="43F1AC93"/>
    <w:rsid w:val="459C9726"/>
    <w:rsid w:val="46082048"/>
    <w:rsid w:val="4A24D0C5"/>
    <w:rsid w:val="4DF4A38A"/>
    <w:rsid w:val="4EB729A7"/>
    <w:rsid w:val="5580EB90"/>
    <w:rsid w:val="58361E6D"/>
    <w:rsid w:val="5911566E"/>
    <w:rsid w:val="5A849DBC"/>
    <w:rsid w:val="5CC95CB0"/>
    <w:rsid w:val="5D2D01B8"/>
    <w:rsid w:val="5E0EC842"/>
    <w:rsid w:val="60C4BA43"/>
    <w:rsid w:val="62C58C89"/>
    <w:rsid w:val="634A3213"/>
    <w:rsid w:val="659470A9"/>
    <w:rsid w:val="66ADF318"/>
    <w:rsid w:val="680EAA0F"/>
    <w:rsid w:val="73B518CE"/>
    <w:rsid w:val="76E34874"/>
    <w:rsid w:val="79CF4B3A"/>
    <w:rsid w:val="7DF36969"/>
    <w:rsid w:val="7DFAB12D"/>
    <w:rsid w:val="7F0F83EC"/>
    <w:rsid w:val="7FE12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1094"/>
  <w15:chartTrackingRefBased/>
  <w15:docId w15:val="{2796A999-595A-4067-993E-4ABCCBA1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E4A"/>
    <w:rPr>
      <w:rFonts w:eastAsiaTheme="majorEastAsia" w:cstheme="majorBidi"/>
      <w:color w:val="272727" w:themeColor="text1" w:themeTint="D8"/>
    </w:rPr>
  </w:style>
  <w:style w:type="paragraph" w:styleId="Title">
    <w:name w:val="Title"/>
    <w:basedOn w:val="Normal"/>
    <w:next w:val="Normal"/>
    <w:link w:val="TitleChar"/>
    <w:uiPriority w:val="10"/>
    <w:qFormat/>
    <w:rsid w:val="005D5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E4A"/>
    <w:pPr>
      <w:spacing w:before="160"/>
      <w:jc w:val="center"/>
    </w:pPr>
    <w:rPr>
      <w:i/>
      <w:iCs/>
      <w:color w:val="404040" w:themeColor="text1" w:themeTint="BF"/>
    </w:rPr>
  </w:style>
  <w:style w:type="character" w:customStyle="1" w:styleId="QuoteChar">
    <w:name w:val="Quote Char"/>
    <w:basedOn w:val="DefaultParagraphFont"/>
    <w:link w:val="Quote"/>
    <w:uiPriority w:val="29"/>
    <w:rsid w:val="005D5E4A"/>
    <w:rPr>
      <w:i/>
      <w:iCs/>
      <w:color w:val="404040" w:themeColor="text1" w:themeTint="BF"/>
    </w:rPr>
  </w:style>
  <w:style w:type="paragraph" w:styleId="ListParagraph">
    <w:name w:val="List Paragraph"/>
    <w:basedOn w:val="Normal"/>
    <w:uiPriority w:val="34"/>
    <w:qFormat/>
    <w:rsid w:val="005D5E4A"/>
    <w:pPr>
      <w:ind w:left="720"/>
      <w:contextualSpacing/>
    </w:pPr>
  </w:style>
  <w:style w:type="character" w:styleId="IntenseEmphasis">
    <w:name w:val="Intense Emphasis"/>
    <w:basedOn w:val="DefaultParagraphFont"/>
    <w:uiPriority w:val="21"/>
    <w:qFormat/>
    <w:rsid w:val="005D5E4A"/>
    <w:rPr>
      <w:i/>
      <w:iCs/>
      <w:color w:val="0F4761" w:themeColor="accent1" w:themeShade="BF"/>
    </w:rPr>
  </w:style>
  <w:style w:type="paragraph" w:styleId="IntenseQuote">
    <w:name w:val="Intense Quote"/>
    <w:basedOn w:val="Normal"/>
    <w:next w:val="Normal"/>
    <w:link w:val="IntenseQuoteChar"/>
    <w:uiPriority w:val="30"/>
    <w:qFormat/>
    <w:rsid w:val="005D5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E4A"/>
    <w:rPr>
      <w:i/>
      <w:iCs/>
      <w:color w:val="0F4761" w:themeColor="accent1" w:themeShade="BF"/>
    </w:rPr>
  </w:style>
  <w:style w:type="character" w:styleId="IntenseReference">
    <w:name w:val="Intense Reference"/>
    <w:basedOn w:val="DefaultParagraphFont"/>
    <w:uiPriority w:val="32"/>
    <w:qFormat/>
    <w:rsid w:val="005D5E4A"/>
    <w:rPr>
      <w:b/>
      <w:bCs/>
      <w:smallCaps/>
      <w:color w:val="0F4761" w:themeColor="accent1" w:themeShade="BF"/>
      <w:spacing w:val="5"/>
    </w:rPr>
  </w:style>
  <w:style w:type="table" w:styleId="TableGrid">
    <w:name w:val="Table Grid"/>
    <w:basedOn w:val="TableNormal"/>
    <w:uiPriority w:val="39"/>
    <w:rsid w:val="005D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6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78E"/>
  </w:style>
  <w:style w:type="paragraph" w:styleId="Footer">
    <w:name w:val="footer"/>
    <w:basedOn w:val="Normal"/>
    <w:link w:val="FooterChar"/>
    <w:uiPriority w:val="99"/>
    <w:unhideWhenUsed/>
    <w:rsid w:val="00896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78E"/>
  </w:style>
  <w:style w:type="character" w:customStyle="1" w:styleId="apple-converted-space">
    <w:name w:val="apple-converted-space"/>
    <w:basedOn w:val="DefaultParagraphFont"/>
    <w:rsid w:val="004A07E1"/>
  </w:style>
  <w:style w:type="paragraph" w:customStyle="1" w:styleId="p1">
    <w:name w:val="p1"/>
    <w:basedOn w:val="Normal"/>
    <w:rsid w:val="00BB1251"/>
    <w:pPr>
      <w:spacing w:after="0" w:line="240" w:lineRule="auto"/>
    </w:pPr>
    <w:rPr>
      <w:rFonts w:ascii=".AppleSystemUIFont" w:eastAsiaTheme="minorEastAsia" w:hAnsi=".AppleSystemUIFont" w:cs="Times New Roman"/>
      <w:kern w:val="0"/>
      <w:sz w:val="35"/>
      <w:szCs w:val="35"/>
      <w14:ligatures w14:val="none"/>
    </w:rPr>
  </w:style>
  <w:style w:type="character" w:customStyle="1" w:styleId="s1">
    <w:name w:val="s1"/>
    <w:basedOn w:val="DefaultParagraphFont"/>
    <w:rsid w:val="00BB1251"/>
    <w:rPr>
      <w:rFonts w:ascii="UICTFontTextStyleBody" w:hAnsi="UICTFontTextStyleBody" w:hint="default"/>
      <w:b w:val="0"/>
      <w:bCs w:val="0"/>
      <w:i w:val="0"/>
      <w:i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673">
      <w:bodyDiv w:val="1"/>
      <w:marLeft w:val="0"/>
      <w:marRight w:val="0"/>
      <w:marTop w:val="0"/>
      <w:marBottom w:val="0"/>
      <w:divBdr>
        <w:top w:val="none" w:sz="0" w:space="0" w:color="auto"/>
        <w:left w:val="none" w:sz="0" w:space="0" w:color="auto"/>
        <w:bottom w:val="none" w:sz="0" w:space="0" w:color="auto"/>
        <w:right w:val="none" w:sz="0" w:space="0" w:color="auto"/>
      </w:divBdr>
    </w:div>
    <w:div w:id="172307703">
      <w:bodyDiv w:val="1"/>
      <w:marLeft w:val="0"/>
      <w:marRight w:val="0"/>
      <w:marTop w:val="0"/>
      <w:marBottom w:val="0"/>
      <w:divBdr>
        <w:top w:val="none" w:sz="0" w:space="0" w:color="auto"/>
        <w:left w:val="none" w:sz="0" w:space="0" w:color="auto"/>
        <w:bottom w:val="none" w:sz="0" w:space="0" w:color="auto"/>
        <w:right w:val="none" w:sz="0" w:space="0" w:color="auto"/>
      </w:divBdr>
    </w:div>
    <w:div w:id="456340860">
      <w:bodyDiv w:val="1"/>
      <w:marLeft w:val="0"/>
      <w:marRight w:val="0"/>
      <w:marTop w:val="0"/>
      <w:marBottom w:val="0"/>
      <w:divBdr>
        <w:top w:val="none" w:sz="0" w:space="0" w:color="auto"/>
        <w:left w:val="none" w:sz="0" w:space="0" w:color="auto"/>
        <w:bottom w:val="none" w:sz="0" w:space="0" w:color="auto"/>
        <w:right w:val="none" w:sz="0" w:space="0" w:color="auto"/>
      </w:divBdr>
    </w:div>
    <w:div w:id="679435660">
      <w:bodyDiv w:val="1"/>
      <w:marLeft w:val="0"/>
      <w:marRight w:val="0"/>
      <w:marTop w:val="0"/>
      <w:marBottom w:val="0"/>
      <w:divBdr>
        <w:top w:val="none" w:sz="0" w:space="0" w:color="auto"/>
        <w:left w:val="none" w:sz="0" w:space="0" w:color="auto"/>
        <w:bottom w:val="none" w:sz="0" w:space="0" w:color="auto"/>
        <w:right w:val="none" w:sz="0" w:space="0" w:color="auto"/>
      </w:divBdr>
    </w:div>
    <w:div w:id="736516798">
      <w:bodyDiv w:val="1"/>
      <w:marLeft w:val="0"/>
      <w:marRight w:val="0"/>
      <w:marTop w:val="0"/>
      <w:marBottom w:val="0"/>
      <w:divBdr>
        <w:top w:val="none" w:sz="0" w:space="0" w:color="auto"/>
        <w:left w:val="none" w:sz="0" w:space="0" w:color="auto"/>
        <w:bottom w:val="none" w:sz="0" w:space="0" w:color="auto"/>
        <w:right w:val="none" w:sz="0" w:space="0" w:color="auto"/>
      </w:divBdr>
    </w:div>
    <w:div w:id="862548860">
      <w:bodyDiv w:val="1"/>
      <w:marLeft w:val="0"/>
      <w:marRight w:val="0"/>
      <w:marTop w:val="0"/>
      <w:marBottom w:val="0"/>
      <w:divBdr>
        <w:top w:val="none" w:sz="0" w:space="0" w:color="auto"/>
        <w:left w:val="none" w:sz="0" w:space="0" w:color="auto"/>
        <w:bottom w:val="none" w:sz="0" w:space="0" w:color="auto"/>
        <w:right w:val="none" w:sz="0" w:space="0" w:color="auto"/>
      </w:divBdr>
    </w:div>
    <w:div w:id="1060709537">
      <w:bodyDiv w:val="1"/>
      <w:marLeft w:val="0"/>
      <w:marRight w:val="0"/>
      <w:marTop w:val="0"/>
      <w:marBottom w:val="0"/>
      <w:divBdr>
        <w:top w:val="none" w:sz="0" w:space="0" w:color="auto"/>
        <w:left w:val="none" w:sz="0" w:space="0" w:color="auto"/>
        <w:bottom w:val="none" w:sz="0" w:space="0" w:color="auto"/>
        <w:right w:val="none" w:sz="0" w:space="0" w:color="auto"/>
      </w:divBdr>
    </w:div>
    <w:div w:id="1164932479">
      <w:bodyDiv w:val="1"/>
      <w:marLeft w:val="0"/>
      <w:marRight w:val="0"/>
      <w:marTop w:val="0"/>
      <w:marBottom w:val="0"/>
      <w:divBdr>
        <w:top w:val="none" w:sz="0" w:space="0" w:color="auto"/>
        <w:left w:val="none" w:sz="0" w:space="0" w:color="auto"/>
        <w:bottom w:val="none" w:sz="0" w:space="0" w:color="auto"/>
        <w:right w:val="none" w:sz="0" w:space="0" w:color="auto"/>
      </w:divBdr>
    </w:div>
    <w:div w:id="1223982800">
      <w:bodyDiv w:val="1"/>
      <w:marLeft w:val="0"/>
      <w:marRight w:val="0"/>
      <w:marTop w:val="0"/>
      <w:marBottom w:val="0"/>
      <w:divBdr>
        <w:top w:val="none" w:sz="0" w:space="0" w:color="auto"/>
        <w:left w:val="none" w:sz="0" w:space="0" w:color="auto"/>
        <w:bottom w:val="none" w:sz="0" w:space="0" w:color="auto"/>
        <w:right w:val="none" w:sz="0" w:space="0" w:color="auto"/>
      </w:divBdr>
    </w:div>
    <w:div w:id="1306350754">
      <w:bodyDiv w:val="1"/>
      <w:marLeft w:val="0"/>
      <w:marRight w:val="0"/>
      <w:marTop w:val="0"/>
      <w:marBottom w:val="0"/>
      <w:divBdr>
        <w:top w:val="none" w:sz="0" w:space="0" w:color="auto"/>
        <w:left w:val="none" w:sz="0" w:space="0" w:color="auto"/>
        <w:bottom w:val="none" w:sz="0" w:space="0" w:color="auto"/>
        <w:right w:val="none" w:sz="0" w:space="0" w:color="auto"/>
      </w:divBdr>
    </w:div>
    <w:div w:id="1363818997">
      <w:bodyDiv w:val="1"/>
      <w:marLeft w:val="0"/>
      <w:marRight w:val="0"/>
      <w:marTop w:val="0"/>
      <w:marBottom w:val="0"/>
      <w:divBdr>
        <w:top w:val="none" w:sz="0" w:space="0" w:color="auto"/>
        <w:left w:val="none" w:sz="0" w:space="0" w:color="auto"/>
        <w:bottom w:val="none" w:sz="0" w:space="0" w:color="auto"/>
        <w:right w:val="none" w:sz="0" w:space="0" w:color="auto"/>
      </w:divBdr>
    </w:div>
    <w:div w:id="1404569683">
      <w:bodyDiv w:val="1"/>
      <w:marLeft w:val="0"/>
      <w:marRight w:val="0"/>
      <w:marTop w:val="0"/>
      <w:marBottom w:val="0"/>
      <w:divBdr>
        <w:top w:val="none" w:sz="0" w:space="0" w:color="auto"/>
        <w:left w:val="none" w:sz="0" w:space="0" w:color="auto"/>
        <w:bottom w:val="none" w:sz="0" w:space="0" w:color="auto"/>
        <w:right w:val="none" w:sz="0" w:space="0" w:color="auto"/>
      </w:divBdr>
    </w:div>
    <w:div w:id="1467040890">
      <w:bodyDiv w:val="1"/>
      <w:marLeft w:val="0"/>
      <w:marRight w:val="0"/>
      <w:marTop w:val="0"/>
      <w:marBottom w:val="0"/>
      <w:divBdr>
        <w:top w:val="none" w:sz="0" w:space="0" w:color="auto"/>
        <w:left w:val="none" w:sz="0" w:space="0" w:color="auto"/>
        <w:bottom w:val="none" w:sz="0" w:space="0" w:color="auto"/>
        <w:right w:val="none" w:sz="0" w:space="0" w:color="auto"/>
      </w:divBdr>
    </w:div>
    <w:div w:id="1556889922">
      <w:bodyDiv w:val="1"/>
      <w:marLeft w:val="0"/>
      <w:marRight w:val="0"/>
      <w:marTop w:val="0"/>
      <w:marBottom w:val="0"/>
      <w:divBdr>
        <w:top w:val="none" w:sz="0" w:space="0" w:color="auto"/>
        <w:left w:val="none" w:sz="0" w:space="0" w:color="auto"/>
        <w:bottom w:val="none" w:sz="0" w:space="0" w:color="auto"/>
        <w:right w:val="none" w:sz="0" w:space="0" w:color="auto"/>
      </w:divBdr>
    </w:div>
    <w:div w:id="1716155876">
      <w:bodyDiv w:val="1"/>
      <w:marLeft w:val="0"/>
      <w:marRight w:val="0"/>
      <w:marTop w:val="0"/>
      <w:marBottom w:val="0"/>
      <w:divBdr>
        <w:top w:val="none" w:sz="0" w:space="0" w:color="auto"/>
        <w:left w:val="none" w:sz="0" w:space="0" w:color="auto"/>
        <w:bottom w:val="none" w:sz="0" w:space="0" w:color="auto"/>
        <w:right w:val="none" w:sz="0" w:space="0" w:color="auto"/>
      </w:divBdr>
    </w:div>
    <w:div w:id="1800680909">
      <w:bodyDiv w:val="1"/>
      <w:marLeft w:val="0"/>
      <w:marRight w:val="0"/>
      <w:marTop w:val="0"/>
      <w:marBottom w:val="0"/>
      <w:divBdr>
        <w:top w:val="none" w:sz="0" w:space="0" w:color="auto"/>
        <w:left w:val="none" w:sz="0" w:space="0" w:color="auto"/>
        <w:bottom w:val="none" w:sz="0" w:space="0" w:color="auto"/>
        <w:right w:val="none" w:sz="0" w:space="0" w:color="auto"/>
      </w:divBdr>
    </w:div>
    <w:div w:id="19654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3785</Characters>
  <Application>Microsoft Office Word</Application>
  <DocSecurity>4</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Kemeche Green</dc:creator>
  <cp:keywords/>
  <dc:description/>
  <cp:lastModifiedBy>Cindy Gillespie</cp:lastModifiedBy>
  <cp:revision>2</cp:revision>
  <cp:lastPrinted>2025-06-25T14:59:00Z</cp:lastPrinted>
  <dcterms:created xsi:type="dcterms:W3CDTF">2025-06-25T15:00:00Z</dcterms:created>
  <dcterms:modified xsi:type="dcterms:W3CDTF">2025-06-25T15:00:00Z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a680e179-b0c0-442f-9a65-a73cd1c15161</vt:lpwstr>
  </property>
</Properties>
</file>